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3"/>
        <w:tblW w:w="9285" w:type="dxa"/>
        <w:tblLook w:val="0000" w:firstRow="0" w:lastRow="0" w:firstColumn="0" w:lastColumn="0" w:noHBand="0" w:noVBand="0"/>
      </w:tblPr>
      <w:tblGrid>
        <w:gridCol w:w="5540"/>
        <w:gridCol w:w="16"/>
        <w:gridCol w:w="4346"/>
      </w:tblGrid>
      <w:tr w:rsidR="00832DAA" w:rsidTr="002E7E1C">
        <w:trPr>
          <w:trHeight w:val="495"/>
        </w:trPr>
        <w:tc>
          <w:tcPr>
            <w:tcW w:w="9285" w:type="dxa"/>
            <w:gridSpan w:val="3"/>
            <w:shd w:val="clear" w:color="auto" w:fill="D6E3BC" w:themeFill="accent3" w:themeFillTint="66"/>
          </w:tcPr>
          <w:p w:rsidR="00832DAA" w:rsidRPr="00832DAA" w:rsidRDefault="00BA2B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Oldfield Pond: </w:t>
            </w:r>
            <w:r w:rsidR="00F02767">
              <w:rPr>
                <w:b/>
                <w:sz w:val="28"/>
                <w:szCs w:val="28"/>
              </w:rPr>
              <w:t>summary sheet</w:t>
            </w:r>
          </w:p>
        </w:tc>
      </w:tr>
      <w:tr w:rsidR="003F3DB4" w:rsidTr="003F3DB4">
        <w:trPr>
          <w:trHeight w:val="3960"/>
        </w:trPr>
        <w:tc>
          <w:tcPr>
            <w:tcW w:w="9285" w:type="dxa"/>
            <w:gridSpan w:val="3"/>
          </w:tcPr>
          <w:p w:rsidR="003F3DB4" w:rsidRDefault="003F3DB4" w:rsidP="003F3DB4">
            <w:pPr>
              <w:jc w:val="center"/>
              <w:rPr>
                <w:rFonts w:cs="Arial"/>
                <w:b/>
              </w:rPr>
            </w:pPr>
            <w:r w:rsidRPr="004F5572">
              <w:rPr>
                <w:rFonts w:cs="Arial"/>
                <w:b/>
              </w:rPr>
              <w:t>Map location and site boundary</w:t>
            </w:r>
          </w:p>
          <w:p w:rsidR="003F3DB4" w:rsidRDefault="003F3DB4" w:rsidP="003F3DB4">
            <w:pPr>
              <w:jc w:val="center"/>
              <w:rPr>
                <w:rFonts w:cs="Arial"/>
                <w:b/>
              </w:rPr>
            </w:pPr>
          </w:p>
          <w:p w:rsidR="003F3DB4" w:rsidRPr="004F5572" w:rsidRDefault="003F3DB4" w:rsidP="003F3DB4">
            <w:pPr>
              <w:jc w:val="center"/>
              <w:rPr>
                <w:rFonts w:cs="Arial"/>
                <w:b/>
              </w:rPr>
            </w:pPr>
            <w:r w:rsidRPr="004F5572">
              <w:rPr>
                <w:rFonts w:cs="Arial"/>
                <w:noProof/>
              </w:rPr>
              <w:drawing>
                <wp:inline distT="0" distB="0" distL="0" distR="0" wp14:anchorId="05B37D8E" wp14:editId="51E4523A">
                  <wp:extent cx="4419600" cy="29725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st Farm 201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98" cy="297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DB4" w:rsidRPr="00832DAA" w:rsidRDefault="003F3DB4" w:rsidP="003F3DB4">
            <w:pPr>
              <w:jc w:val="center"/>
              <w:rPr>
                <w:b/>
              </w:rPr>
            </w:pPr>
          </w:p>
        </w:tc>
      </w:tr>
      <w:tr w:rsidR="00832DAA" w:rsidTr="003F3DB4">
        <w:trPr>
          <w:trHeight w:val="1656"/>
        </w:trPr>
        <w:tc>
          <w:tcPr>
            <w:tcW w:w="4631" w:type="dxa"/>
          </w:tcPr>
          <w:p w:rsidR="003F3DB4" w:rsidRDefault="003F3DB4" w:rsidP="003F3DB4">
            <w:pPr>
              <w:rPr>
                <w:b/>
              </w:rPr>
            </w:pPr>
            <w:r>
              <w:rPr>
                <w:b/>
              </w:rPr>
              <w:t>Description</w:t>
            </w:r>
          </w:p>
          <w:p w:rsidR="00832DAA" w:rsidRPr="004F5572" w:rsidRDefault="00F02767" w:rsidP="007261B2">
            <w:pPr>
              <w:rPr>
                <w:rFonts w:cs="Arial"/>
                <w:b/>
              </w:rPr>
            </w:pPr>
            <w:r>
              <w:t>The site consists of plantation woodland, neutral to calcareous grassland, seasonally wet ditches and a</w:t>
            </w:r>
            <w:r w:rsidR="00ED0E3A">
              <w:t>n ancient field</w:t>
            </w:r>
            <w:r>
              <w:t xml:space="preserve"> pond with stands of mixed emergent vegetation surrounded by sallow carr. It has been divided into four sub-sites, which are described separately</w:t>
            </w:r>
            <w:r w:rsidR="00656DA7">
              <w:t>.</w:t>
            </w:r>
            <w:r w:rsidR="00A24AA8">
              <w:t xml:space="preserve">  </w:t>
            </w:r>
          </w:p>
        </w:tc>
        <w:tc>
          <w:tcPr>
            <w:tcW w:w="4654" w:type="dxa"/>
            <w:gridSpan w:val="2"/>
          </w:tcPr>
          <w:p w:rsidR="00832DAA" w:rsidRDefault="00832DAA" w:rsidP="00832DAA">
            <w:pPr>
              <w:rPr>
                <w:b/>
              </w:rPr>
            </w:pPr>
            <w:r w:rsidRPr="00832DAA">
              <w:rPr>
                <w:b/>
              </w:rPr>
              <w:t>Features of interest</w:t>
            </w:r>
          </w:p>
          <w:p w:rsidR="00F02767" w:rsidRDefault="00F02767" w:rsidP="00832DA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Outstanding assemblage of aquatic invertebrates;</w:t>
            </w:r>
          </w:p>
          <w:p w:rsidR="00832DAA" w:rsidRDefault="00F02767" w:rsidP="00832DA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Species-rich n</w:t>
            </w:r>
            <w:r w:rsidR="00476E9D">
              <w:rPr>
                <w:rFonts w:cs="Arial"/>
              </w:rPr>
              <w:t xml:space="preserve">eutral </w:t>
            </w:r>
            <w:r w:rsidR="00044926">
              <w:rPr>
                <w:rFonts w:cs="Arial"/>
              </w:rPr>
              <w:t>and</w:t>
            </w:r>
            <w:r w:rsidR="00476E9D">
              <w:rPr>
                <w:rFonts w:cs="Arial"/>
              </w:rPr>
              <w:t xml:space="preserve"> calcareous grassland</w:t>
            </w:r>
          </w:p>
          <w:p w:rsidR="00F02767" w:rsidRDefault="00F02767" w:rsidP="00F0276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Local wetland plant species such as Lesser Spearwort, Parsley</w:t>
            </w:r>
            <w:r w:rsidR="00D77A0A">
              <w:rPr>
                <w:rFonts w:cs="Arial"/>
              </w:rPr>
              <w:t xml:space="preserve"> W</w:t>
            </w:r>
            <w:r>
              <w:rPr>
                <w:rFonts w:cs="Arial"/>
              </w:rPr>
              <w:t>ater-dropwort and Common Yellow-sedge</w:t>
            </w:r>
          </w:p>
          <w:p w:rsidR="00832DAA" w:rsidRPr="00F02767" w:rsidRDefault="00F02767" w:rsidP="00F0276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Amphibians including Great Crested Newt and Common Toad</w:t>
            </w:r>
          </w:p>
        </w:tc>
      </w:tr>
      <w:tr w:rsidR="00044926" w:rsidTr="00613729">
        <w:trPr>
          <w:trHeight w:val="5443"/>
        </w:trPr>
        <w:tc>
          <w:tcPr>
            <w:tcW w:w="4642" w:type="dxa"/>
            <w:gridSpan w:val="2"/>
          </w:tcPr>
          <w:p w:rsidR="00044926" w:rsidRDefault="00044926" w:rsidP="00832DAA">
            <w:pPr>
              <w:rPr>
                <w:rFonts w:cs="Arial"/>
                <w:b/>
              </w:rPr>
            </w:pPr>
          </w:p>
          <w:p w:rsidR="00044926" w:rsidRDefault="00044926" w:rsidP="00832D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Photographs</w:t>
            </w:r>
          </w:p>
          <w:p w:rsidR="00044926" w:rsidRDefault="00044926" w:rsidP="00832DAA">
            <w:pPr>
              <w:rPr>
                <w:rFonts w:cs="Arial"/>
                <w:b/>
              </w:rPr>
            </w:pPr>
          </w:p>
          <w:p w:rsidR="00044926" w:rsidRDefault="00044926" w:rsidP="00832DAA">
            <w:pPr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490BFEDC" wp14:editId="6C3D1416">
                  <wp:extent cx="3391034" cy="2266950"/>
                  <wp:effectExtent l="0" t="0" r="0" b="0"/>
                  <wp:docPr id="3" name="Picture 3" descr="A field of tall grass with trees in the background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104015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483" cy="228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044926" w:rsidRDefault="00044926" w:rsidP="00832DAA">
            <w:pPr>
              <w:jc w:val="center"/>
            </w:pPr>
          </w:p>
          <w:p w:rsidR="00044926" w:rsidRDefault="00044926" w:rsidP="00832DAA">
            <w:pPr>
              <w:jc w:val="center"/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79C200AB" wp14:editId="22A0AC3D">
                  <wp:extent cx="2101398" cy="3143250"/>
                  <wp:effectExtent l="0" t="0" r="0" b="0"/>
                  <wp:docPr id="4" name="Picture 4" descr="A green plant in a fores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104039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12397" cy="3159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E1C" w:rsidRDefault="002E7E1C" w:rsidP="00AE65D2">
      <w:pPr>
        <w:spacing w:after="0" w:line="240" w:lineRule="auto"/>
        <w:rPr>
          <w:rFonts w:cs="Arial"/>
          <w:b/>
          <w:sz w:val="24"/>
          <w:szCs w:val="24"/>
        </w:rPr>
      </w:pPr>
    </w:p>
    <w:p w:rsidR="00AE65D2" w:rsidRPr="00AE65D2" w:rsidRDefault="00AE65D2" w:rsidP="00AE65D2">
      <w:pPr>
        <w:spacing w:after="0" w:line="240" w:lineRule="auto"/>
        <w:rPr>
          <w:rFonts w:cs="Arial"/>
          <w:b/>
          <w:sz w:val="24"/>
          <w:szCs w:val="24"/>
        </w:rPr>
      </w:pPr>
      <w:r w:rsidRPr="00AE65D2">
        <w:rPr>
          <w:rFonts w:cs="Arial"/>
          <w:b/>
          <w:sz w:val="24"/>
          <w:szCs w:val="24"/>
        </w:rPr>
        <w:t>Technical data</w:t>
      </w:r>
    </w:p>
    <w:p w:rsidR="00AE65D2" w:rsidRPr="00AE65D2" w:rsidRDefault="00AE65D2" w:rsidP="00AE65D2">
      <w:pPr>
        <w:spacing w:after="0" w:line="240" w:lineRule="auto"/>
        <w:rPr>
          <w:rFonts w:cs="Arial"/>
        </w:rPr>
      </w:pPr>
    </w:p>
    <w:p w:rsidR="00AE65D2" w:rsidRPr="00AE65D2" w:rsidRDefault="00AE65D2" w:rsidP="00AE65D2">
      <w:pPr>
        <w:spacing w:after="0" w:line="240" w:lineRule="auto"/>
        <w:rPr>
          <w:rFonts w:eastAsia="Times New Roman" w:cs="Calibri"/>
          <w:color w:val="000000"/>
          <w:lang w:eastAsia="en-GB"/>
        </w:rPr>
      </w:pPr>
      <w:r w:rsidRPr="00AE65D2">
        <w:rPr>
          <w:rFonts w:cs="Arial"/>
        </w:rPr>
        <w:t xml:space="preserve">Centre Point Grid Reference: </w:t>
      </w:r>
      <w:r w:rsidR="00F02767" w:rsidRPr="00F02767">
        <w:rPr>
          <w:rFonts w:eastAsia="Times New Roman" w:cs="Arial"/>
          <w:bCs/>
          <w:color w:val="000000"/>
          <w:lang w:eastAsia="en-GB"/>
        </w:rPr>
        <w:t>TF13090028</w:t>
      </w:r>
    </w:p>
    <w:p w:rsidR="00AE65D2" w:rsidRPr="00AE65D2" w:rsidRDefault="00AE65D2" w:rsidP="00AE65D2">
      <w:pPr>
        <w:spacing w:after="0" w:line="240" w:lineRule="auto"/>
        <w:rPr>
          <w:rFonts w:cs="Arial"/>
        </w:rPr>
      </w:pPr>
      <w:r w:rsidRPr="00AE65D2">
        <w:rPr>
          <w:rFonts w:cs="Arial"/>
        </w:rPr>
        <w:t xml:space="preserve">Parish: </w:t>
      </w:r>
      <w:r w:rsidR="007D212A">
        <w:rPr>
          <w:rFonts w:cs="Arial"/>
        </w:rPr>
        <w:t>Castor</w:t>
      </w:r>
    </w:p>
    <w:p w:rsidR="00AE65D2" w:rsidRPr="00AE65D2" w:rsidRDefault="00AE65D2" w:rsidP="00AE65D2">
      <w:pPr>
        <w:spacing w:after="0" w:line="240" w:lineRule="auto"/>
        <w:rPr>
          <w:rFonts w:cs="Arial"/>
        </w:rPr>
      </w:pPr>
      <w:r w:rsidRPr="00AE65D2">
        <w:rPr>
          <w:rFonts w:cs="Arial"/>
        </w:rPr>
        <w:t>Conservation status: none</w:t>
      </w:r>
    </w:p>
    <w:p w:rsidR="007D212A" w:rsidRDefault="00AE65D2" w:rsidP="00AE65D2">
      <w:pPr>
        <w:spacing w:after="0" w:line="240" w:lineRule="auto"/>
        <w:rPr>
          <w:rFonts w:cs="Arial"/>
        </w:rPr>
      </w:pPr>
      <w:r w:rsidRPr="00AE65D2">
        <w:rPr>
          <w:rFonts w:cs="Arial"/>
        </w:rPr>
        <w:t xml:space="preserve">Data from CPERC: </w:t>
      </w:r>
      <w:r w:rsidR="00F02767">
        <w:rPr>
          <w:rFonts w:cs="Arial"/>
        </w:rPr>
        <w:t>yes</w:t>
      </w:r>
    </w:p>
    <w:p w:rsidR="00AE65D2" w:rsidRPr="00AE65D2" w:rsidRDefault="00AE65D2" w:rsidP="00AE65D2">
      <w:pPr>
        <w:spacing w:after="0" w:line="240" w:lineRule="auto"/>
        <w:rPr>
          <w:rFonts w:cs="Arial"/>
        </w:rPr>
      </w:pPr>
      <w:r w:rsidRPr="00AE65D2">
        <w:rPr>
          <w:rFonts w:cs="Arial"/>
        </w:rPr>
        <w:t xml:space="preserve">Records on NBN: </w:t>
      </w:r>
      <w:r w:rsidR="00F02767">
        <w:rPr>
          <w:rFonts w:cs="Arial"/>
        </w:rPr>
        <w:t>yes</w:t>
      </w:r>
    </w:p>
    <w:p w:rsidR="00007A71" w:rsidRDefault="00007A71" w:rsidP="00AE65D2">
      <w:pPr>
        <w:spacing w:after="0" w:line="240" w:lineRule="auto"/>
        <w:rPr>
          <w:rFonts w:cs="Arial"/>
        </w:rPr>
      </w:pPr>
    </w:p>
    <w:p w:rsidR="00AE65D2" w:rsidRPr="00AE65D2" w:rsidRDefault="00AE65D2" w:rsidP="00AE65D2">
      <w:pPr>
        <w:spacing w:after="0" w:line="240" w:lineRule="auto"/>
        <w:rPr>
          <w:rFonts w:cs="Arial"/>
          <w:b/>
        </w:rPr>
      </w:pPr>
      <w:r w:rsidRPr="00AE65D2">
        <w:rPr>
          <w:rFonts w:cs="Arial"/>
          <w:b/>
        </w:rPr>
        <w:t>Key plant species recorded</w:t>
      </w:r>
    </w:p>
    <w:p w:rsidR="00AE65D2" w:rsidRPr="00AE65D2" w:rsidRDefault="00AE65D2" w:rsidP="00AE65D2">
      <w:pPr>
        <w:spacing w:after="0" w:line="240" w:lineRule="auto"/>
        <w:rPr>
          <w:rFonts w:cs="Arial"/>
        </w:rPr>
      </w:pPr>
    </w:p>
    <w:tbl>
      <w:tblPr>
        <w:tblStyle w:val="ListTable7Colorfu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111"/>
        <w:gridCol w:w="2196"/>
        <w:gridCol w:w="1319"/>
        <w:gridCol w:w="1637"/>
      </w:tblGrid>
      <w:tr w:rsidR="00E207BF" w:rsidRPr="00AE65D2" w:rsidTr="00AA660A">
        <w:trPr>
          <w:trHeight w:val="70"/>
        </w:trPr>
        <w:tc>
          <w:tcPr>
            <w:tcW w:w="0" w:type="auto"/>
            <w:shd w:val="clear" w:color="auto" w:fill="D9D9D9" w:themeFill="background1" w:themeFillShade="D9"/>
          </w:tcPr>
          <w:p w:rsidR="00E207BF" w:rsidRPr="00AE65D2" w:rsidRDefault="00E207BF" w:rsidP="00AE65D2">
            <w:pPr>
              <w:rPr>
                <w:rFonts w:cs="Arial"/>
                <w:b/>
                <w:sz w:val="20"/>
                <w:szCs w:val="20"/>
              </w:rPr>
            </w:pPr>
            <w:r w:rsidRPr="00AE65D2">
              <w:rPr>
                <w:rFonts w:cs="Arial"/>
                <w:b/>
                <w:sz w:val="20"/>
                <w:szCs w:val="20"/>
              </w:rPr>
              <w:t>Scientific name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207BF" w:rsidRPr="00AE65D2" w:rsidRDefault="00E207BF" w:rsidP="00AE65D2">
            <w:pPr>
              <w:rPr>
                <w:rFonts w:cs="Arial"/>
                <w:b/>
                <w:sz w:val="20"/>
                <w:szCs w:val="20"/>
              </w:rPr>
            </w:pPr>
            <w:r w:rsidRPr="00AE65D2">
              <w:rPr>
                <w:rFonts w:cs="Arial"/>
                <w:b/>
                <w:sz w:val="20"/>
                <w:szCs w:val="20"/>
              </w:rPr>
              <w:t>English name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207BF" w:rsidRPr="00AE65D2" w:rsidRDefault="00E207BF" w:rsidP="00AE65D2">
            <w:pPr>
              <w:rPr>
                <w:rFonts w:cs="Arial"/>
                <w:b/>
                <w:sz w:val="20"/>
                <w:szCs w:val="20"/>
              </w:rPr>
            </w:pPr>
            <w:r w:rsidRPr="00AE65D2">
              <w:rPr>
                <w:rFonts w:cs="Arial"/>
                <w:b/>
                <w:sz w:val="20"/>
                <w:szCs w:val="20"/>
              </w:rPr>
              <w:t>Status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207BF" w:rsidRPr="00AE65D2" w:rsidRDefault="00E207BF" w:rsidP="00AE65D2">
            <w:pPr>
              <w:rPr>
                <w:rFonts w:cs="Arial"/>
                <w:b/>
                <w:sz w:val="20"/>
                <w:szCs w:val="20"/>
              </w:rPr>
            </w:pPr>
            <w:r w:rsidRPr="00AE65D2"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007A71" w:rsidRPr="00AE65D2" w:rsidTr="00AA660A">
        <w:trPr>
          <w:trHeight w:val="210"/>
        </w:trPr>
        <w:tc>
          <w:tcPr>
            <w:tcW w:w="0" w:type="auto"/>
          </w:tcPr>
          <w:p w:rsidR="00007A71" w:rsidRPr="00AE65D2" w:rsidRDefault="00007A71" w:rsidP="00007A7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Agrimonia eupatoria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Agrimony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 w:rsidRPr="00AE65D2">
              <w:rPr>
                <w:rFonts w:cs="Arial"/>
                <w:sz w:val="20"/>
                <w:szCs w:val="20"/>
              </w:rPr>
              <w:t>NGI/CGI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</w:p>
        </w:tc>
      </w:tr>
      <w:tr w:rsidR="00007A71" w:rsidRPr="00AE65D2" w:rsidTr="00AA660A">
        <w:trPr>
          <w:trHeight w:val="210"/>
        </w:trPr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i/>
                <w:sz w:val="20"/>
                <w:szCs w:val="20"/>
              </w:rPr>
            </w:pPr>
            <w:r w:rsidRPr="00AE65D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Brachypodium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rupestre</w:t>
            </w:r>
            <w:proofErr w:type="spellEnd"/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 w:rsidRPr="00AE65D2">
              <w:rPr>
                <w:rFonts w:cs="Arial"/>
                <w:sz w:val="20"/>
                <w:szCs w:val="20"/>
              </w:rPr>
              <w:t>Tor-grass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 w:rsidRPr="00AE65D2">
              <w:rPr>
                <w:rFonts w:cs="Arial"/>
                <w:sz w:val="20"/>
                <w:szCs w:val="20"/>
              </w:rPr>
              <w:t>CGI*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</w:p>
        </w:tc>
      </w:tr>
      <w:tr w:rsidR="00007A71" w:rsidRPr="00AE65D2" w:rsidTr="00AA660A">
        <w:trPr>
          <w:trHeight w:val="210"/>
        </w:trPr>
        <w:tc>
          <w:tcPr>
            <w:tcW w:w="0" w:type="auto"/>
          </w:tcPr>
          <w:p w:rsidR="00007A71" w:rsidRPr="00AE65D2" w:rsidRDefault="00007A71" w:rsidP="00007A7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Bromopsis erecta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Upright Brome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CGI*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</w:p>
        </w:tc>
      </w:tr>
      <w:tr w:rsidR="00007A71" w:rsidRPr="00AE65D2" w:rsidTr="00AA660A">
        <w:trPr>
          <w:trHeight w:val="210"/>
        </w:trPr>
        <w:tc>
          <w:tcPr>
            <w:tcW w:w="0" w:type="auto"/>
          </w:tcPr>
          <w:p w:rsidR="00007A71" w:rsidRDefault="00007A71" w:rsidP="00007A7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Bromus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racemosus</w:t>
            </w:r>
            <w:proofErr w:type="spellEnd"/>
          </w:p>
        </w:tc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Meadow Brome</w:t>
            </w:r>
          </w:p>
        </w:tc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NGI*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</w:p>
        </w:tc>
      </w:tr>
      <w:tr w:rsidR="00007A71" w:rsidRPr="00AE65D2" w:rsidTr="00AA660A">
        <w:trPr>
          <w:trHeight w:val="210"/>
        </w:trPr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Carex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demissa</w:t>
            </w:r>
            <w:proofErr w:type="spellEnd"/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Common Yellow-sedge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County rarity</w:t>
            </w:r>
          </w:p>
        </w:tc>
        <w:tc>
          <w:tcPr>
            <w:tcW w:w="0" w:type="auto"/>
          </w:tcPr>
          <w:p w:rsidR="00007A71" w:rsidRPr="00A00C48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Ditches</w:t>
            </w:r>
          </w:p>
        </w:tc>
      </w:tr>
      <w:tr w:rsidR="00007A71" w:rsidRPr="00AE65D2" w:rsidTr="00AA660A">
        <w:trPr>
          <w:trHeight w:val="210"/>
        </w:trPr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i/>
                <w:sz w:val="20"/>
                <w:szCs w:val="20"/>
              </w:rPr>
            </w:pPr>
            <w:r w:rsidRPr="00AE65D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Carex flacca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 w:rsidRPr="00AE65D2">
              <w:rPr>
                <w:rFonts w:cs="Arial"/>
                <w:sz w:val="20"/>
                <w:szCs w:val="20"/>
              </w:rPr>
              <w:t>Glaucous Sedge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 w:rsidRPr="00AE65D2">
              <w:rPr>
                <w:rFonts w:cs="Arial"/>
                <w:sz w:val="20"/>
                <w:szCs w:val="20"/>
              </w:rPr>
              <w:t>NGI*/CGI*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</w:p>
        </w:tc>
      </w:tr>
      <w:tr w:rsidR="00007A71" w:rsidRPr="00AE65D2" w:rsidTr="00AA660A">
        <w:trPr>
          <w:trHeight w:val="210"/>
        </w:trPr>
        <w:tc>
          <w:tcPr>
            <w:tcW w:w="0" w:type="auto"/>
          </w:tcPr>
          <w:p w:rsidR="00007A71" w:rsidRPr="00AE65D2" w:rsidRDefault="00007A71" w:rsidP="00007A7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Centaurea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debeauxii</w:t>
            </w:r>
            <w:proofErr w:type="spellEnd"/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Chalk Knapweed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 w:rsidRPr="00AE65D2">
              <w:rPr>
                <w:rFonts w:cs="Arial"/>
                <w:sz w:val="20"/>
                <w:szCs w:val="20"/>
              </w:rPr>
              <w:t>NGI/CGI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</w:p>
        </w:tc>
      </w:tr>
      <w:tr w:rsidR="00007A71" w:rsidRPr="00AE65D2" w:rsidTr="00007A71">
        <w:trPr>
          <w:trHeight w:val="210"/>
        </w:trPr>
        <w:tc>
          <w:tcPr>
            <w:tcW w:w="0" w:type="auto"/>
            <w:vAlign w:val="bottom"/>
          </w:tcPr>
          <w:p w:rsidR="00007A71" w:rsidRPr="00AE65D2" w:rsidRDefault="00007A71" w:rsidP="00007A7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E65D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Centaurium erythraea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 w:rsidRPr="00AE65D2">
              <w:rPr>
                <w:rFonts w:cs="Arial"/>
                <w:sz w:val="20"/>
                <w:szCs w:val="20"/>
              </w:rPr>
              <w:t>Common Centaury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 w:rsidRPr="00AE65D2">
              <w:rPr>
                <w:rFonts w:cs="Arial"/>
                <w:sz w:val="20"/>
                <w:szCs w:val="20"/>
              </w:rPr>
              <w:t>NGI/CGI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</w:p>
        </w:tc>
      </w:tr>
      <w:tr w:rsidR="00007A71" w:rsidRPr="00AE65D2" w:rsidTr="00AA660A">
        <w:trPr>
          <w:trHeight w:val="210"/>
        </w:trPr>
        <w:tc>
          <w:tcPr>
            <w:tcW w:w="0" w:type="auto"/>
          </w:tcPr>
          <w:p w:rsidR="00007A71" w:rsidRDefault="00007A71" w:rsidP="00007A7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Cirsium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acaule</w:t>
            </w:r>
            <w:proofErr w:type="spellEnd"/>
          </w:p>
        </w:tc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Stemless Thistle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CGI*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</w:p>
        </w:tc>
      </w:tr>
      <w:tr w:rsidR="00007A71" w:rsidRPr="00AE65D2" w:rsidTr="00007A71">
        <w:trPr>
          <w:trHeight w:val="210"/>
        </w:trPr>
        <w:tc>
          <w:tcPr>
            <w:tcW w:w="0" w:type="auto"/>
            <w:vAlign w:val="bottom"/>
          </w:tcPr>
          <w:p w:rsidR="00007A71" w:rsidRPr="00AE65D2" w:rsidRDefault="00007A71" w:rsidP="00007A7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E65D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Clinopodium vulgare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 w:rsidRPr="00AE65D2">
              <w:rPr>
                <w:rFonts w:cs="Arial"/>
                <w:sz w:val="20"/>
                <w:szCs w:val="20"/>
              </w:rPr>
              <w:t>Wild Basil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 w:rsidRPr="00AE65D2">
              <w:rPr>
                <w:rFonts w:cs="Arial"/>
                <w:sz w:val="20"/>
                <w:szCs w:val="20"/>
              </w:rPr>
              <w:t>CGI*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</w:p>
        </w:tc>
      </w:tr>
      <w:tr w:rsidR="00007A71" w:rsidRPr="00AE65D2" w:rsidTr="00007A71">
        <w:trPr>
          <w:trHeight w:val="210"/>
        </w:trPr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sz w:val="20"/>
                <w:szCs w:val="20"/>
              </w:rPr>
              <w:t>Eleocharis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palustris</w:t>
            </w:r>
          </w:p>
        </w:tc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Common Spike-rush</w:t>
            </w:r>
          </w:p>
        </w:tc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NGI</w:t>
            </w:r>
          </w:p>
        </w:tc>
        <w:tc>
          <w:tcPr>
            <w:tcW w:w="0" w:type="auto"/>
          </w:tcPr>
          <w:p w:rsidR="00007A71" w:rsidRPr="00A00C48" w:rsidRDefault="00007A71" w:rsidP="0000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Ditches</w:t>
            </w:r>
          </w:p>
        </w:tc>
      </w:tr>
      <w:tr w:rsidR="00007A71" w:rsidRPr="00AE65D2" w:rsidTr="00007A71">
        <w:trPr>
          <w:trHeight w:val="210"/>
        </w:trPr>
        <w:tc>
          <w:tcPr>
            <w:tcW w:w="0" w:type="auto"/>
          </w:tcPr>
          <w:p w:rsidR="00007A71" w:rsidRPr="00AE65D2" w:rsidRDefault="00007A71" w:rsidP="00007A7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E65D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Galium verum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 w:rsidRPr="00AE65D2">
              <w:rPr>
                <w:rFonts w:cs="Arial"/>
                <w:sz w:val="20"/>
                <w:szCs w:val="20"/>
              </w:rPr>
              <w:t>Lady’s Bedstraw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 w:rsidRPr="00AE65D2">
              <w:rPr>
                <w:rFonts w:cs="Arial"/>
                <w:sz w:val="20"/>
                <w:szCs w:val="20"/>
              </w:rPr>
              <w:t>NGI/CGI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</w:p>
        </w:tc>
      </w:tr>
      <w:tr w:rsidR="00007A71" w:rsidRPr="00AE65D2" w:rsidTr="00007A71">
        <w:trPr>
          <w:trHeight w:val="210"/>
        </w:trPr>
        <w:tc>
          <w:tcPr>
            <w:tcW w:w="0" w:type="auto"/>
          </w:tcPr>
          <w:p w:rsidR="00007A71" w:rsidRPr="00AE65D2" w:rsidRDefault="00007A71" w:rsidP="00007A7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Hypericum perforatum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Perforate </w:t>
            </w:r>
            <w:proofErr w:type="spellStart"/>
            <w:r>
              <w:rPr>
                <w:rFonts w:cs="Arial"/>
                <w:sz w:val="20"/>
                <w:szCs w:val="20"/>
              </w:rPr>
              <w:t>St.John’s</w:t>
            </w:r>
            <w:proofErr w:type="spellEnd"/>
            <w:r>
              <w:rPr>
                <w:rFonts w:cs="Arial"/>
                <w:sz w:val="20"/>
                <w:szCs w:val="20"/>
              </w:rPr>
              <w:t>-wort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CGI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</w:p>
        </w:tc>
      </w:tr>
      <w:tr w:rsidR="00007A71" w:rsidRPr="00AE65D2" w:rsidTr="00AA660A">
        <w:trPr>
          <w:trHeight w:val="210"/>
        </w:trPr>
        <w:tc>
          <w:tcPr>
            <w:tcW w:w="0" w:type="auto"/>
          </w:tcPr>
          <w:p w:rsidR="00007A71" w:rsidRPr="00AE65D2" w:rsidRDefault="00007A71" w:rsidP="00007A7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Knautia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arvensis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Field Scabious</w:t>
            </w:r>
          </w:p>
        </w:tc>
        <w:tc>
          <w:tcPr>
            <w:tcW w:w="0" w:type="auto"/>
          </w:tcPr>
          <w:p w:rsidR="00007A71" w:rsidRPr="00AE65D2" w:rsidRDefault="00FC56FD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NT </w:t>
            </w:r>
            <w:proofErr w:type="spellStart"/>
            <w:r>
              <w:rPr>
                <w:rFonts w:cs="Arial"/>
                <w:sz w:val="20"/>
                <w:szCs w:val="20"/>
              </w:rPr>
              <w:t>Eng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r w:rsidR="00007A71">
              <w:rPr>
                <w:rFonts w:cs="Arial"/>
                <w:sz w:val="20"/>
                <w:szCs w:val="20"/>
              </w:rPr>
              <w:t>CGI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</w:p>
        </w:tc>
      </w:tr>
      <w:tr w:rsidR="00007A71" w:rsidRPr="00AE65D2" w:rsidTr="00AA660A">
        <w:trPr>
          <w:trHeight w:val="210"/>
        </w:trPr>
        <w:tc>
          <w:tcPr>
            <w:tcW w:w="0" w:type="auto"/>
          </w:tcPr>
          <w:p w:rsidR="00007A71" w:rsidRDefault="00007A71" w:rsidP="00007A7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Inula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conyzae</w:t>
            </w:r>
            <w:proofErr w:type="spellEnd"/>
          </w:p>
        </w:tc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Ploughman’s Spikenard </w:t>
            </w:r>
          </w:p>
        </w:tc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CGI*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</w:p>
        </w:tc>
      </w:tr>
      <w:tr w:rsidR="00007A71" w:rsidRPr="00AE65D2" w:rsidTr="00AA660A">
        <w:trPr>
          <w:trHeight w:val="210"/>
        </w:trPr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Lathyrus pratensis</w:t>
            </w:r>
          </w:p>
        </w:tc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Meadow Vetchling</w:t>
            </w:r>
          </w:p>
        </w:tc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NGI</w:t>
            </w:r>
          </w:p>
        </w:tc>
        <w:tc>
          <w:tcPr>
            <w:tcW w:w="0" w:type="auto"/>
          </w:tcPr>
          <w:p w:rsidR="00007A71" w:rsidRPr="00A00C48" w:rsidRDefault="00007A71" w:rsidP="00007A71">
            <w:pPr>
              <w:rPr>
                <w:sz w:val="20"/>
                <w:szCs w:val="20"/>
              </w:rPr>
            </w:pPr>
          </w:p>
        </w:tc>
      </w:tr>
      <w:tr w:rsidR="00007A71" w:rsidRPr="00AE65D2" w:rsidTr="00AA660A">
        <w:trPr>
          <w:trHeight w:val="210"/>
        </w:trPr>
        <w:tc>
          <w:tcPr>
            <w:tcW w:w="0" w:type="auto"/>
          </w:tcPr>
          <w:p w:rsidR="00007A71" w:rsidRPr="00AE65D2" w:rsidRDefault="00007A71" w:rsidP="00007A7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Linum catharticum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Fairy Flax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 w:rsidRPr="00AE65D2">
              <w:rPr>
                <w:rFonts w:cs="Arial"/>
                <w:sz w:val="20"/>
                <w:szCs w:val="20"/>
              </w:rPr>
              <w:t>NGI*/CGI*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</w:p>
        </w:tc>
      </w:tr>
      <w:tr w:rsidR="00007A71" w:rsidRPr="00AE65D2" w:rsidTr="00AA660A">
        <w:trPr>
          <w:trHeight w:val="210"/>
        </w:trPr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Lotus corniculatus</w:t>
            </w:r>
          </w:p>
        </w:tc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Bird’s-foot Trefoil</w:t>
            </w:r>
          </w:p>
        </w:tc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sz w:val="20"/>
                <w:szCs w:val="20"/>
              </w:rPr>
            </w:pPr>
            <w:r w:rsidRPr="00AE65D2">
              <w:rPr>
                <w:rFonts w:cs="Arial"/>
                <w:sz w:val="20"/>
                <w:szCs w:val="20"/>
              </w:rPr>
              <w:t>NGI/CGI</w:t>
            </w:r>
          </w:p>
        </w:tc>
        <w:tc>
          <w:tcPr>
            <w:tcW w:w="0" w:type="auto"/>
          </w:tcPr>
          <w:p w:rsidR="00007A71" w:rsidRPr="00A00C48" w:rsidRDefault="00007A71" w:rsidP="00007A71">
            <w:pPr>
              <w:rPr>
                <w:sz w:val="20"/>
                <w:szCs w:val="20"/>
              </w:rPr>
            </w:pPr>
          </w:p>
        </w:tc>
      </w:tr>
      <w:tr w:rsidR="00007A71" w:rsidRPr="00AE65D2" w:rsidTr="00AA660A">
        <w:trPr>
          <w:trHeight w:val="210"/>
        </w:trPr>
        <w:tc>
          <w:tcPr>
            <w:tcW w:w="0" w:type="auto"/>
          </w:tcPr>
          <w:p w:rsidR="00007A71" w:rsidRPr="007D212A" w:rsidRDefault="00007A71" w:rsidP="00007A71">
            <w:pPr>
              <w:rPr>
                <w:rFonts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Oenanthe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lachenalii</w:t>
            </w:r>
            <w:proofErr w:type="spellEnd"/>
          </w:p>
        </w:tc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Parsley Water-dropwort</w:t>
            </w:r>
          </w:p>
        </w:tc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County Rarity</w:t>
            </w:r>
          </w:p>
        </w:tc>
        <w:tc>
          <w:tcPr>
            <w:tcW w:w="0" w:type="auto"/>
          </w:tcPr>
          <w:p w:rsidR="00007A71" w:rsidRPr="00A00C48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Ditches</w:t>
            </w:r>
          </w:p>
        </w:tc>
      </w:tr>
      <w:tr w:rsidR="00007A71" w:rsidRPr="00AE65D2" w:rsidTr="00AA660A">
        <w:trPr>
          <w:trHeight w:val="210"/>
        </w:trPr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sz w:val="20"/>
                <w:szCs w:val="20"/>
              </w:rPr>
              <w:t>Pimpinella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saxifraga</w:t>
            </w:r>
            <w:proofErr w:type="spellEnd"/>
          </w:p>
        </w:tc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Burnet Saxifrage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 w:rsidRPr="00AE65D2">
              <w:rPr>
                <w:rFonts w:cs="Arial"/>
                <w:sz w:val="20"/>
                <w:szCs w:val="20"/>
              </w:rPr>
              <w:t>NGI/CGI</w:t>
            </w:r>
          </w:p>
        </w:tc>
        <w:tc>
          <w:tcPr>
            <w:tcW w:w="0" w:type="auto"/>
          </w:tcPr>
          <w:p w:rsidR="00007A71" w:rsidRPr="00A00C48" w:rsidRDefault="00007A71" w:rsidP="00007A71">
            <w:pPr>
              <w:rPr>
                <w:sz w:val="20"/>
                <w:szCs w:val="20"/>
              </w:rPr>
            </w:pPr>
          </w:p>
        </w:tc>
      </w:tr>
      <w:tr w:rsidR="00007A71" w:rsidRPr="00AE65D2" w:rsidTr="00AA660A">
        <w:trPr>
          <w:trHeight w:val="210"/>
        </w:trPr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Pulicaria dysenterica</w:t>
            </w:r>
          </w:p>
        </w:tc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Fleabane</w:t>
            </w:r>
          </w:p>
        </w:tc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NGI</w:t>
            </w:r>
          </w:p>
        </w:tc>
        <w:tc>
          <w:tcPr>
            <w:tcW w:w="0" w:type="auto"/>
          </w:tcPr>
          <w:p w:rsidR="00007A71" w:rsidRPr="00A00C48" w:rsidRDefault="00007A71" w:rsidP="00007A71">
            <w:pPr>
              <w:rPr>
                <w:sz w:val="20"/>
                <w:szCs w:val="20"/>
              </w:rPr>
            </w:pPr>
          </w:p>
        </w:tc>
      </w:tr>
      <w:tr w:rsidR="00007A71" w:rsidRPr="00AE65D2" w:rsidTr="00AA660A">
        <w:trPr>
          <w:trHeight w:val="210"/>
        </w:trPr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i/>
                <w:sz w:val="20"/>
                <w:szCs w:val="20"/>
              </w:rPr>
            </w:pPr>
            <w:r w:rsidRPr="007D212A">
              <w:rPr>
                <w:rFonts w:cs="Arial"/>
                <w:i/>
                <w:iCs/>
                <w:sz w:val="20"/>
                <w:szCs w:val="20"/>
              </w:rPr>
              <w:t xml:space="preserve">Ranunculus </w:t>
            </w:r>
            <w:proofErr w:type="spellStart"/>
            <w:r w:rsidRPr="007D212A">
              <w:rPr>
                <w:rFonts w:cs="Arial"/>
                <w:i/>
                <w:iCs/>
                <w:sz w:val="20"/>
                <w:szCs w:val="20"/>
              </w:rPr>
              <w:t>flammula</w:t>
            </w:r>
            <w:proofErr w:type="spellEnd"/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Lesser Spearwort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NT </w:t>
            </w:r>
            <w:proofErr w:type="spellStart"/>
            <w:r>
              <w:rPr>
                <w:rFonts w:cs="Arial"/>
                <w:sz w:val="20"/>
                <w:szCs w:val="20"/>
              </w:rPr>
              <w:t>Eng</w:t>
            </w:r>
            <w:proofErr w:type="spellEnd"/>
            <w:r>
              <w:rPr>
                <w:rFonts w:cs="Arial"/>
                <w:sz w:val="20"/>
                <w:szCs w:val="20"/>
              </w:rPr>
              <w:t>, NGI*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Ditches and pond</w:t>
            </w:r>
          </w:p>
        </w:tc>
      </w:tr>
      <w:tr w:rsidR="00007A71" w:rsidRPr="00AE65D2" w:rsidTr="00AA660A">
        <w:trPr>
          <w:trHeight w:val="210"/>
        </w:trPr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Rumex acetosa</w:t>
            </w:r>
          </w:p>
        </w:tc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Common Sorrel</w:t>
            </w:r>
          </w:p>
        </w:tc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NGI</w:t>
            </w:r>
          </w:p>
        </w:tc>
        <w:tc>
          <w:tcPr>
            <w:tcW w:w="0" w:type="auto"/>
          </w:tcPr>
          <w:p w:rsidR="00007A71" w:rsidRPr="00A00C48" w:rsidRDefault="00007A71" w:rsidP="00007A71">
            <w:pPr>
              <w:rPr>
                <w:sz w:val="20"/>
                <w:szCs w:val="20"/>
              </w:rPr>
            </w:pPr>
          </w:p>
        </w:tc>
      </w:tr>
      <w:tr w:rsidR="00007A71" w:rsidRPr="00AE65D2" w:rsidTr="00AA660A">
        <w:trPr>
          <w:trHeight w:val="210"/>
        </w:trPr>
        <w:tc>
          <w:tcPr>
            <w:tcW w:w="0" w:type="auto"/>
          </w:tcPr>
          <w:p w:rsidR="00007A71" w:rsidRPr="00AE65D2" w:rsidRDefault="00007A71" w:rsidP="00007A7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Samolus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valerandi</w:t>
            </w:r>
            <w:proofErr w:type="spellEnd"/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Brookweed</w:t>
            </w:r>
            <w:proofErr w:type="spellEnd"/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Local</w:t>
            </w:r>
          </w:p>
        </w:tc>
        <w:tc>
          <w:tcPr>
            <w:tcW w:w="0" w:type="auto"/>
          </w:tcPr>
          <w:p w:rsidR="00007A71" w:rsidRPr="00AE65D2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Ditches</w:t>
            </w:r>
          </w:p>
        </w:tc>
      </w:tr>
      <w:tr w:rsidR="00007A71" w:rsidRPr="00AE65D2" w:rsidTr="00AA660A">
        <w:trPr>
          <w:trHeight w:val="210"/>
        </w:trPr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Trisetum flavescens</w:t>
            </w:r>
          </w:p>
        </w:tc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Yellow Oat-grass</w:t>
            </w:r>
          </w:p>
        </w:tc>
        <w:tc>
          <w:tcPr>
            <w:tcW w:w="0" w:type="auto"/>
          </w:tcPr>
          <w:p w:rsidR="00007A71" w:rsidRDefault="00007A71" w:rsidP="00007A71">
            <w:pPr>
              <w:rPr>
                <w:rFonts w:cs="Arial"/>
                <w:sz w:val="20"/>
                <w:szCs w:val="20"/>
              </w:rPr>
            </w:pPr>
            <w:r w:rsidRPr="00AE65D2">
              <w:rPr>
                <w:rFonts w:cs="Arial"/>
                <w:sz w:val="20"/>
                <w:szCs w:val="20"/>
              </w:rPr>
              <w:t>NGI/CGI</w:t>
            </w:r>
          </w:p>
        </w:tc>
        <w:tc>
          <w:tcPr>
            <w:tcW w:w="0" w:type="auto"/>
          </w:tcPr>
          <w:p w:rsidR="00007A71" w:rsidRPr="00A00C48" w:rsidRDefault="00007A71" w:rsidP="00007A71">
            <w:pPr>
              <w:rPr>
                <w:sz w:val="20"/>
                <w:szCs w:val="20"/>
              </w:rPr>
            </w:pPr>
          </w:p>
        </w:tc>
      </w:tr>
    </w:tbl>
    <w:p w:rsidR="00ED0E3A" w:rsidRDefault="00ED0E3A" w:rsidP="00F02767">
      <w:pPr>
        <w:spacing w:after="0" w:line="240" w:lineRule="auto"/>
        <w:rPr>
          <w:rFonts w:cs="Arial"/>
          <w:b/>
        </w:rPr>
      </w:pPr>
    </w:p>
    <w:p w:rsidR="00F02767" w:rsidRPr="00AE65D2" w:rsidRDefault="00F02767" w:rsidP="00F02767">
      <w:pPr>
        <w:spacing w:after="0" w:line="240" w:lineRule="auto"/>
        <w:rPr>
          <w:rFonts w:cs="Arial"/>
          <w:b/>
        </w:rPr>
      </w:pPr>
      <w:r w:rsidRPr="00AE65D2">
        <w:rPr>
          <w:rFonts w:cs="Arial"/>
          <w:b/>
        </w:rPr>
        <w:t>Key invertebrate species recorded</w:t>
      </w:r>
    </w:p>
    <w:p w:rsidR="00F02767" w:rsidRPr="00AE65D2" w:rsidRDefault="00F02767" w:rsidP="00F02767">
      <w:pPr>
        <w:spacing w:after="0" w:line="240" w:lineRule="auto"/>
        <w:rPr>
          <w:rFonts w:cs="Arial"/>
        </w:rPr>
      </w:pPr>
    </w:p>
    <w:tbl>
      <w:tblPr>
        <w:tblStyle w:val="ListTable7Colorfu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660"/>
        <w:gridCol w:w="2126"/>
        <w:gridCol w:w="851"/>
        <w:gridCol w:w="3183"/>
      </w:tblGrid>
      <w:tr w:rsidR="00F02767" w:rsidRPr="00AE65D2" w:rsidTr="00007A71">
        <w:trPr>
          <w:trHeight w:val="70"/>
          <w:tblHeader/>
        </w:trPr>
        <w:tc>
          <w:tcPr>
            <w:tcW w:w="2660" w:type="dxa"/>
            <w:shd w:val="clear" w:color="auto" w:fill="D9D9D9" w:themeFill="background1" w:themeFillShade="D9"/>
          </w:tcPr>
          <w:p w:rsidR="00F02767" w:rsidRPr="00AE65D2" w:rsidRDefault="00F02767" w:rsidP="00007A71">
            <w:pPr>
              <w:rPr>
                <w:rFonts w:cs="Arial"/>
                <w:b/>
                <w:sz w:val="20"/>
                <w:szCs w:val="20"/>
              </w:rPr>
            </w:pPr>
            <w:r w:rsidRPr="00AE65D2">
              <w:rPr>
                <w:rFonts w:cs="Arial"/>
                <w:b/>
                <w:sz w:val="20"/>
                <w:szCs w:val="20"/>
              </w:rPr>
              <w:t>Scientific 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02767" w:rsidRPr="00AE65D2" w:rsidRDefault="00F02767" w:rsidP="00007A71">
            <w:pPr>
              <w:rPr>
                <w:rFonts w:cs="Arial"/>
                <w:b/>
                <w:sz w:val="20"/>
                <w:szCs w:val="20"/>
              </w:rPr>
            </w:pPr>
            <w:r w:rsidRPr="00AE65D2">
              <w:rPr>
                <w:rFonts w:cs="Arial"/>
                <w:b/>
                <w:sz w:val="20"/>
                <w:szCs w:val="20"/>
              </w:rPr>
              <w:t>English name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02767" w:rsidRPr="00AE65D2" w:rsidRDefault="00F02767" w:rsidP="00007A71">
            <w:pPr>
              <w:rPr>
                <w:rFonts w:cs="Arial"/>
                <w:b/>
                <w:sz w:val="20"/>
                <w:szCs w:val="20"/>
              </w:rPr>
            </w:pPr>
            <w:r w:rsidRPr="00AE65D2">
              <w:rPr>
                <w:rFonts w:cs="Arial"/>
                <w:b/>
                <w:sz w:val="20"/>
                <w:szCs w:val="20"/>
              </w:rPr>
              <w:t>Status</w:t>
            </w:r>
          </w:p>
        </w:tc>
        <w:tc>
          <w:tcPr>
            <w:tcW w:w="3183" w:type="dxa"/>
            <w:shd w:val="clear" w:color="auto" w:fill="D9D9D9" w:themeFill="background1" w:themeFillShade="D9"/>
          </w:tcPr>
          <w:p w:rsidR="00F02767" w:rsidRPr="00AE65D2" w:rsidRDefault="00F02767" w:rsidP="00007A71">
            <w:pPr>
              <w:rPr>
                <w:rFonts w:cs="Arial"/>
                <w:b/>
                <w:sz w:val="20"/>
                <w:szCs w:val="20"/>
              </w:rPr>
            </w:pPr>
            <w:r w:rsidRPr="00AE65D2"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F02767" w:rsidRPr="00AE65D2" w:rsidTr="00007A71">
        <w:trPr>
          <w:trHeight w:val="210"/>
        </w:trPr>
        <w:tc>
          <w:tcPr>
            <w:tcW w:w="2660" w:type="dxa"/>
          </w:tcPr>
          <w:p w:rsidR="00F02767" w:rsidRPr="00CD752A" w:rsidRDefault="00F02767" w:rsidP="00007A71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Agabus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labiatus</w:t>
            </w:r>
            <w:proofErr w:type="spellEnd"/>
          </w:p>
        </w:tc>
        <w:tc>
          <w:tcPr>
            <w:tcW w:w="2126" w:type="dxa"/>
          </w:tcPr>
          <w:p w:rsidR="00F02767" w:rsidRPr="00AE65D2" w:rsidRDefault="00F02767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diving beetle</w:t>
            </w:r>
          </w:p>
        </w:tc>
        <w:tc>
          <w:tcPr>
            <w:tcW w:w="851" w:type="dxa"/>
          </w:tcPr>
          <w:p w:rsidR="00F02767" w:rsidRPr="00D466C6" w:rsidRDefault="00F02767" w:rsidP="00007A71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NT</w:t>
            </w:r>
          </w:p>
        </w:tc>
        <w:tc>
          <w:tcPr>
            <w:tcW w:w="3183" w:type="dxa"/>
          </w:tcPr>
          <w:p w:rsidR="00F02767" w:rsidRPr="00AE65D2" w:rsidRDefault="00F02767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declined and relic species of shallow, often seasonal, standing waters</w:t>
            </w:r>
          </w:p>
        </w:tc>
      </w:tr>
      <w:tr w:rsidR="00B273DB" w:rsidRPr="00AE65D2" w:rsidTr="00007A71">
        <w:trPr>
          <w:trHeight w:val="21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Anthracus</w:t>
            </w:r>
            <w:proofErr w:type="spellEnd"/>
            <w:r w:rsidRPr="00CD752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consputus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ground beetle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Plant litter and damp ground at water margins</w:t>
            </w:r>
          </w:p>
        </w:tc>
      </w:tr>
      <w:tr w:rsidR="00B273DB" w:rsidRPr="00AE65D2" w:rsidTr="00007A71">
        <w:trPr>
          <w:trHeight w:val="21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Badister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dilatatus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ground beetle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Dense vegetation at water margins and fluctuating swamps</w:t>
            </w:r>
          </w:p>
        </w:tc>
      </w:tr>
      <w:tr w:rsidR="00B273DB" w:rsidRPr="00AE65D2" w:rsidTr="00007A71">
        <w:trPr>
          <w:trHeight w:val="21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Bembidion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fumigatum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ground beetle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Tall marginal vegetation and fluctuating swamps</w:t>
            </w:r>
          </w:p>
        </w:tc>
      </w:tr>
      <w:tr w:rsidR="00B273DB" w:rsidRPr="00AE65D2" w:rsidTr="00007A71">
        <w:trPr>
          <w:trHeight w:val="225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Berosus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luridus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scavenger water beetle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NT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Well-vegetated pools and drains, often on peat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Calligypona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reyi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planthopper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RDBK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Club-rushes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Ceratocombus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coleoptratus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jumping ground bug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local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Permanently damp plant litter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lastRenderedPageBreak/>
              <w:t>Chrysolina</w:t>
            </w:r>
            <w:proofErr w:type="spellEnd"/>
            <w:r w:rsidRPr="00CD752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herbacea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leaf beetle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local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foodplant is Water Mint; a scarce species locally, though more frequent further south and west along the Nene valley.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Cicadula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flori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leafhopper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Nb</w:t>
            </w:r>
            <w:proofErr w:type="spellEnd"/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Marshes and water margins, usually on sedges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677193" w:rsidRDefault="00B273DB" w:rsidP="00B273D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Cistogaster</w:t>
            </w:r>
            <w:proofErr w:type="spellEnd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globosa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bristle fly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RDB1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Moderate to tall lightly managed dry grassland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Colobaea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punctata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snail-killing fly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Open-structured vegetation on seasonally exposed fringes of water bodies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677193" w:rsidRDefault="00B273DB" w:rsidP="00B273D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Dasytes</w:t>
            </w:r>
            <w:proofErr w:type="spellEnd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plumbeus</w:t>
            </w:r>
            <w:proofErr w:type="spellEnd"/>
          </w:p>
        </w:tc>
        <w:tc>
          <w:tcPr>
            <w:tcW w:w="2126" w:type="dxa"/>
          </w:tcPr>
          <w:p w:rsidR="00B273DB" w:rsidRPr="00D466C6" w:rsidRDefault="00B273DB" w:rsidP="00B273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 false soldier beetle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Habitat mosaics and transitions; larvae believed to develop in dead wood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Donacia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cinerea</w:t>
            </w:r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reed beetle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Lesser bulrush emergent from still water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Dryops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similaris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long-toed water beetle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Sunny but well-vegetated or mossy margins of ponds and drains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Dytiscus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dimidiatus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King Diving Beetle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NT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Ponds and drains, especially with good mollusc populations and in areas of old wetland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Enochrus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quadripunctatus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scavenger water beetle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Well-vegetated but sunny shallow waters and pond fringes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Graptodytes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bilineatus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diving beetle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Well-vegetated shallow ponds and drains, including reed-beds and highly seasonal mossy pools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Graptodytes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granularis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diving beetle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local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Well-vegetated clean waters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Helophorus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nanus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scavenger water beetle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Densely vegetated water margins and swamp, often amongst tall vegetation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Hesperocorixa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moesta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water boatman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local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Clean, well-vegetated shallow pools and drains; characteristic of oligotrophic but calcareous water 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Holocentropus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stagnalis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caddisfly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Densely vegetated shallow waters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Hygrotus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decoratus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diving beetle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Well-vegetated base-rich pools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Ilybius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chalconatus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diving beetle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local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Well-vegetated, shallow, often seasonal pools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677193" w:rsidRDefault="00B273DB" w:rsidP="00B273D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Linnaemyia</w:t>
            </w:r>
            <w:proofErr w:type="spellEnd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rossica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bristle fly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local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 habitats and transitions; a predominantly northern and western species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677193" w:rsidRDefault="00B273DB" w:rsidP="00B273D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Lygus</w:t>
            </w:r>
            <w:proofErr w:type="spellEnd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pratensis</w:t>
            </w:r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plant bug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RDB3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 habitats with flowering tall herbs; status in need of revision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Nemotelus</w:t>
            </w:r>
            <w:proofErr w:type="spellEnd"/>
            <w:r w:rsidRPr="00CD752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pantherinus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Fen Snout </w:t>
            </w:r>
            <w:proofErr w:type="spellStart"/>
            <w:r>
              <w:rPr>
                <w:rFonts w:cs="Arial"/>
                <w:sz w:val="20"/>
                <w:szCs w:val="20"/>
              </w:rPr>
              <w:t>soldierfly</w:t>
            </w:r>
            <w:proofErr w:type="spellEnd"/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local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Wet grassland and pond fringes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Nemoura</w:t>
            </w:r>
            <w:proofErr w:type="spellEnd"/>
            <w:r w:rsidRPr="00CD752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dubitans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stonefly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local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Shallow water in well-vegetated habitats, such as seepages feeding through sedge or reed-beds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Notaris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scirpi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weevil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Nb</w:t>
            </w:r>
            <w:proofErr w:type="spellEnd"/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Tall wetland vegetation at water margins and in fluctuating swamps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Pherbellia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dorsata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snail-killing fly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Moderate to tall vegetation on seasonally exposed sediments by water bodies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Philonthus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fumarius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rove beetle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Nb</w:t>
            </w:r>
            <w:proofErr w:type="spellEnd"/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Dense, tall fluctuating swamp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677193" w:rsidRDefault="00B273DB" w:rsidP="00B273D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Picromerus</w:t>
            </w:r>
            <w:proofErr w:type="spellEnd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bidens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spiked </w:t>
            </w:r>
            <w:proofErr w:type="spellStart"/>
            <w:r>
              <w:rPr>
                <w:rFonts w:cs="Arial"/>
                <w:sz w:val="20"/>
                <w:szCs w:val="20"/>
              </w:rPr>
              <w:t>shieldbug</w:t>
            </w:r>
            <w:proofErr w:type="spellEnd"/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local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Tall herbaceous vegetation in sheltered damp places, especially sheltered wetland transitions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677193" w:rsidRDefault="00B273DB" w:rsidP="00B273D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Platystomos</w:t>
            </w:r>
            <w:proofErr w:type="spellEnd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albinus</w:t>
            </w:r>
            <w:proofErr w:type="spellEnd"/>
          </w:p>
        </w:tc>
        <w:tc>
          <w:tcPr>
            <w:tcW w:w="2126" w:type="dxa"/>
          </w:tcPr>
          <w:p w:rsidR="00B273DB" w:rsidRPr="00D466C6" w:rsidRDefault="00B273DB" w:rsidP="00B273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 fungus weevil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46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Nb</w:t>
            </w:r>
            <w:proofErr w:type="spellEnd"/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Fungoid dead wood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677193" w:rsidRDefault="00B273DB" w:rsidP="00B273D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lastRenderedPageBreak/>
              <w:t>Sphecodes</w:t>
            </w:r>
            <w:proofErr w:type="spellEnd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ferruginatus</w:t>
            </w:r>
            <w:proofErr w:type="spellEnd"/>
          </w:p>
        </w:tc>
        <w:tc>
          <w:tcPr>
            <w:tcW w:w="2126" w:type="dxa"/>
          </w:tcPr>
          <w:p w:rsidR="00B273DB" w:rsidRPr="00D466C6" w:rsidRDefault="00B273DB" w:rsidP="00B273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Dull-headed Blood Bee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46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Nb</w:t>
            </w:r>
            <w:proofErr w:type="spellEnd"/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 habitats, especially on calcareous soils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Stratiomys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potamida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Banded General </w:t>
            </w:r>
            <w:proofErr w:type="spellStart"/>
            <w:r>
              <w:rPr>
                <w:rFonts w:cs="Arial"/>
                <w:sz w:val="20"/>
                <w:szCs w:val="20"/>
              </w:rPr>
              <w:t>soldierfly</w:t>
            </w:r>
            <w:proofErr w:type="spellEnd"/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Shallow well-vegetated, sometimes seasonal water in ponds and slow drains, and seepages, often somewhat shaded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Telmatophilus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brevicollis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silken fungus beetle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RDB3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Tall wetland vegetation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677193" w:rsidRDefault="00B273DB" w:rsidP="00B273D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Thereva</w:t>
            </w:r>
            <w:proofErr w:type="spellEnd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plebeja</w:t>
            </w:r>
            <w:proofErr w:type="spellEnd"/>
          </w:p>
        </w:tc>
        <w:tc>
          <w:tcPr>
            <w:tcW w:w="2126" w:type="dxa"/>
          </w:tcPr>
          <w:p w:rsidR="00B273DB" w:rsidRPr="00D466C6" w:rsidRDefault="00B273DB" w:rsidP="00B273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Crochet-hooked Stiletto Fly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 habitats on free-draining substrates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CD752A" w:rsidRDefault="00B273DB" w:rsidP="00B273DB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Thrypticus</w:t>
            </w:r>
            <w:proofErr w:type="spellEnd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D752A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nigricauda</w:t>
            </w:r>
            <w:proofErr w:type="spellEnd"/>
          </w:p>
        </w:tc>
        <w:tc>
          <w:tcPr>
            <w:tcW w:w="2126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long-footed fly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Tall wetland vegetation, especially club-rushes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677193" w:rsidRDefault="00B273DB" w:rsidP="00B273D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Tiphia</w:t>
            </w:r>
            <w:proofErr w:type="spellEnd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minuta</w:t>
            </w:r>
            <w:proofErr w:type="spellEnd"/>
          </w:p>
        </w:tc>
        <w:tc>
          <w:tcPr>
            <w:tcW w:w="2126" w:type="dxa"/>
          </w:tcPr>
          <w:p w:rsidR="00B273DB" w:rsidRPr="00D466C6" w:rsidRDefault="00B273DB" w:rsidP="00B273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Small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Tiphia</w:t>
            </w:r>
            <w:proofErr w:type="spellEnd"/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46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Nb</w:t>
            </w:r>
            <w:proofErr w:type="spellEnd"/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Especially frequent in habitat mosaics and transitions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677193" w:rsidRDefault="00B273DB" w:rsidP="00B273D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Uleiota</w:t>
            </w:r>
            <w:proofErr w:type="spellEnd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planatus</w:t>
            </w:r>
            <w:proofErr w:type="spellEnd"/>
          </w:p>
        </w:tc>
        <w:tc>
          <w:tcPr>
            <w:tcW w:w="2126" w:type="dxa"/>
          </w:tcPr>
          <w:p w:rsidR="00B273DB" w:rsidRPr="00D466C6" w:rsidRDefault="00B273DB" w:rsidP="00B273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 flat bark beetle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 bark of dead standing and fallen broadleaved timber</w:t>
            </w:r>
          </w:p>
        </w:tc>
      </w:tr>
      <w:tr w:rsidR="00B273DB" w:rsidRPr="00AE65D2" w:rsidTr="00007A71">
        <w:trPr>
          <w:trHeight w:val="180"/>
        </w:trPr>
        <w:tc>
          <w:tcPr>
            <w:tcW w:w="2660" w:type="dxa"/>
          </w:tcPr>
          <w:p w:rsidR="00B273DB" w:rsidRPr="00677193" w:rsidRDefault="00B273DB" w:rsidP="00B273DB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Xylocoris</w:t>
            </w:r>
            <w:proofErr w:type="spellEnd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771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cursitans</w:t>
            </w:r>
            <w:proofErr w:type="spellEnd"/>
          </w:p>
        </w:tc>
        <w:tc>
          <w:tcPr>
            <w:tcW w:w="2126" w:type="dxa"/>
          </w:tcPr>
          <w:p w:rsidR="00B273DB" w:rsidRPr="00D466C6" w:rsidRDefault="00B273DB" w:rsidP="00B273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 flower-bug</w:t>
            </w:r>
          </w:p>
        </w:tc>
        <w:tc>
          <w:tcPr>
            <w:tcW w:w="851" w:type="dxa"/>
          </w:tcPr>
          <w:p w:rsidR="00B273DB" w:rsidRPr="00D466C6" w:rsidRDefault="00B273DB" w:rsidP="00B273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466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local</w:t>
            </w:r>
          </w:p>
        </w:tc>
        <w:tc>
          <w:tcPr>
            <w:tcW w:w="3183" w:type="dxa"/>
          </w:tcPr>
          <w:p w:rsidR="00B273DB" w:rsidRPr="00AE65D2" w:rsidRDefault="00B273DB" w:rsidP="00B273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Found under bark, and usually associated with sites with good historical continuity of dead-wood habitats</w:t>
            </w:r>
          </w:p>
        </w:tc>
      </w:tr>
    </w:tbl>
    <w:p w:rsidR="00272A18" w:rsidRDefault="00272A18" w:rsidP="00AE65D2">
      <w:pPr>
        <w:spacing w:after="0" w:line="240" w:lineRule="auto"/>
        <w:rPr>
          <w:rFonts w:cs="Arial"/>
          <w:b/>
        </w:rPr>
      </w:pPr>
    </w:p>
    <w:p w:rsidR="00ED0E3A" w:rsidRPr="00AE65D2" w:rsidRDefault="00ED0E3A" w:rsidP="00ED0E3A">
      <w:pPr>
        <w:spacing w:after="0" w:line="240" w:lineRule="auto"/>
        <w:rPr>
          <w:rFonts w:cs="Arial"/>
          <w:b/>
        </w:rPr>
      </w:pPr>
      <w:r w:rsidRPr="00AE65D2">
        <w:rPr>
          <w:rFonts w:cs="Arial"/>
          <w:b/>
        </w:rPr>
        <w:t xml:space="preserve">Key </w:t>
      </w:r>
      <w:r>
        <w:rPr>
          <w:rFonts w:cs="Arial"/>
          <w:b/>
        </w:rPr>
        <w:t xml:space="preserve">vertebrate </w:t>
      </w:r>
      <w:r w:rsidRPr="00AE65D2">
        <w:rPr>
          <w:rFonts w:cs="Arial"/>
          <w:b/>
        </w:rPr>
        <w:t>species recorded</w:t>
      </w:r>
    </w:p>
    <w:p w:rsidR="00ED0E3A" w:rsidRPr="00AE65D2" w:rsidRDefault="00ED0E3A" w:rsidP="00ED0E3A">
      <w:pPr>
        <w:spacing w:after="0" w:line="240" w:lineRule="auto"/>
        <w:rPr>
          <w:rFonts w:cs="Arial"/>
        </w:rPr>
      </w:pPr>
    </w:p>
    <w:tbl>
      <w:tblPr>
        <w:tblStyle w:val="ListTable7Colorfu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586"/>
        <w:gridCol w:w="1829"/>
        <w:gridCol w:w="2910"/>
        <w:gridCol w:w="706"/>
      </w:tblGrid>
      <w:tr w:rsidR="00ED0E3A" w:rsidRPr="00AE65D2" w:rsidTr="00007A71">
        <w:trPr>
          <w:trHeight w:val="70"/>
        </w:trPr>
        <w:tc>
          <w:tcPr>
            <w:tcW w:w="0" w:type="auto"/>
            <w:shd w:val="clear" w:color="auto" w:fill="D9D9D9" w:themeFill="background1" w:themeFillShade="D9"/>
          </w:tcPr>
          <w:p w:rsidR="00ED0E3A" w:rsidRPr="00AE65D2" w:rsidRDefault="00ED0E3A" w:rsidP="00007A71">
            <w:pPr>
              <w:rPr>
                <w:rFonts w:cs="Arial"/>
                <w:b/>
                <w:sz w:val="20"/>
                <w:szCs w:val="20"/>
              </w:rPr>
            </w:pPr>
            <w:r w:rsidRPr="00AE65D2">
              <w:rPr>
                <w:rFonts w:cs="Arial"/>
                <w:b/>
                <w:sz w:val="20"/>
                <w:szCs w:val="20"/>
              </w:rPr>
              <w:t>Scientific name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0E3A" w:rsidRPr="00AE65D2" w:rsidRDefault="00ED0E3A" w:rsidP="00007A71">
            <w:pPr>
              <w:rPr>
                <w:rFonts w:cs="Arial"/>
                <w:b/>
                <w:sz w:val="20"/>
                <w:szCs w:val="20"/>
              </w:rPr>
            </w:pPr>
            <w:r w:rsidRPr="00AE65D2">
              <w:rPr>
                <w:rFonts w:cs="Arial"/>
                <w:b/>
                <w:sz w:val="20"/>
                <w:szCs w:val="20"/>
              </w:rPr>
              <w:t>English name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0E3A" w:rsidRPr="00AE65D2" w:rsidRDefault="00ED0E3A" w:rsidP="00007A71">
            <w:pPr>
              <w:rPr>
                <w:rFonts w:cs="Arial"/>
                <w:b/>
                <w:sz w:val="20"/>
                <w:szCs w:val="20"/>
              </w:rPr>
            </w:pPr>
            <w:r w:rsidRPr="00AE65D2">
              <w:rPr>
                <w:rFonts w:cs="Arial"/>
                <w:b/>
                <w:sz w:val="20"/>
                <w:szCs w:val="20"/>
              </w:rPr>
              <w:t>Status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D0E3A" w:rsidRPr="00AE65D2" w:rsidRDefault="00ED0E3A" w:rsidP="00007A71">
            <w:pPr>
              <w:rPr>
                <w:rFonts w:cs="Arial"/>
                <w:b/>
                <w:sz w:val="20"/>
                <w:szCs w:val="20"/>
              </w:rPr>
            </w:pPr>
            <w:r w:rsidRPr="00AE65D2"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ED0E3A" w:rsidRPr="00AE65D2" w:rsidTr="00007A71">
        <w:trPr>
          <w:trHeight w:val="210"/>
        </w:trPr>
        <w:tc>
          <w:tcPr>
            <w:tcW w:w="0" w:type="auto"/>
          </w:tcPr>
          <w:p w:rsidR="00ED0E3A" w:rsidRPr="00AE65D2" w:rsidRDefault="00ED0E3A" w:rsidP="00007A71">
            <w:pPr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sz w:val="20"/>
                <w:szCs w:val="20"/>
              </w:rPr>
              <w:t>Bufo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bufo</w:t>
            </w:r>
            <w:proofErr w:type="spellEnd"/>
          </w:p>
        </w:tc>
        <w:tc>
          <w:tcPr>
            <w:tcW w:w="0" w:type="auto"/>
          </w:tcPr>
          <w:p w:rsidR="00ED0E3A" w:rsidRPr="00AE65D2" w:rsidRDefault="00ED0E3A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Common Toad</w:t>
            </w:r>
          </w:p>
        </w:tc>
        <w:tc>
          <w:tcPr>
            <w:tcW w:w="0" w:type="auto"/>
          </w:tcPr>
          <w:p w:rsidR="00ED0E3A" w:rsidRPr="00AE65D2" w:rsidRDefault="00ED0E3A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Section 41 species</w:t>
            </w:r>
          </w:p>
        </w:tc>
        <w:tc>
          <w:tcPr>
            <w:tcW w:w="0" w:type="auto"/>
          </w:tcPr>
          <w:p w:rsidR="00ED0E3A" w:rsidRPr="00AE65D2" w:rsidRDefault="00ED0E3A" w:rsidP="00007A71">
            <w:pPr>
              <w:rPr>
                <w:rFonts w:cs="Arial"/>
                <w:sz w:val="20"/>
                <w:szCs w:val="20"/>
              </w:rPr>
            </w:pPr>
          </w:p>
        </w:tc>
      </w:tr>
      <w:tr w:rsidR="00ED0E3A" w:rsidRPr="00AE65D2" w:rsidTr="00007A71">
        <w:trPr>
          <w:trHeight w:val="210"/>
        </w:trPr>
        <w:tc>
          <w:tcPr>
            <w:tcW w:w="0" w:type="auto"/>
          </w:tcPr>
          <w:p w:rsidR="00ED0E3A" w:rsidRPr="00AE65D2" w:rsidRDefault="00ED0E3A" w:rsidP="00007A71">
            <w:pPr>
              <w:rPr>
                <w:rFonts w:cs="Arial"/>
                <w:i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Triturus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 xml:space="preserve"> cristatus</w:t>
            </w:r>
          </w:p>
        </w:tc>
        <w:tc>
          <w:tcPr>
            <w:tcW w:w="0" w:type="auto"/>
          </w:tcPr>
          <w:p w:rsidR="00ED0E3A" w:rsidRPr="00AE65D2" w:rsidRDefault="00ED0E3A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Great Crested Newt</w:t>
            </w:r>
          </w:p>
        </w:tc>
        <w:tc>
          <w:tcPr>
            <w:tcW w:w="0" w:type="auto"/>
          </w:tcPr>
          <w:p w:rsidR="00ED0E3A" w:rsidRPr="00AE65D2" w:rsidRDefault="00ED0E3A" w:rsidP="00007A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Sch. 5 species, Section 41 species</w:t>
            </w:r>
          </w:p>
        </w:tc>
        <w:tc>
          <w:tcPr>
            <w:tcW w:w="0" w:type="auto"/>
          </w:tcPr>
          <w:p w:rsidR="00ED0E3A" w:rsidRPr="00AE65D2" w:rsidRDefault="00ED0E3A" w:rsidP="00007A7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D0E3A" w:rsidRDefault="00ED0E3A" w:rsidP="00AE65D2">
      <w:pPr>
        <w:spacing w:after="0" w:line="240" w:lineRule="auto"/>
        <w:rPr>
          <w:rFonts w:cs="Arial"/>
          <w:b/>
        </w:rPr>
      </w:pPr>
    </w:p>
    <w:p w:rsidR="00ED0E3A" w:rsidRDefault="00ED0E3A" w:rsidP="00ED0E3A">
      <w:pPr>
        <w:spacing w:after="0" w:line="240" w:lineRule="auto"/>
        <w:rPr>
          <w:rFonts w:cs="Arial"/>
          <w:b/>
        </w:rPr>
      </w:pPr>
      <w:r w:rsidRPr="00B0206F">
        <w:rPr>
          <w:rFonts w:cs="Arial"/>
          <w:b/>
        </w:rPr>
        <w:t>Status</w:t>
      </w:r>
    </w:p>
    <w:p w:rsidR="00ED0E3A" w:rsidRDefault="00ED0E3A" w:rsidP="00ED0E3A">
      <w:pPr>
        <w:spacing w:after="0" w:line="240" w:lineRule="auto"/>
        <w:rPr>
          <w:rFonts w:cs="Arial"/>
          <w:b/>
        </w:rPr>
      </w:pPr>
    </w:p>
    <w:p w:rsidR="00ED0E3A" w:rsidRDefault="00ED0E3A" w:rsidP="00ED0E3A">
      <w:pPr>
        <w:spacing w:after="0" w:line="240" w:lineRule="auto"/>
        <w:rPr>
          <w:rFonts w:cs="Arial"/>
        </w:rPr>
      </w:pPr>
      <w:r>
        <w:rPr>
          <w:rFonts w:cs="Arial"/>
        </w:rPr>
        <w:t xml:space="preserve">Oldfield Pond qualifies as a </w:t>
      </w:r>
      <w:r w:rsidRPr="0078733E">
        <w:rPr>
          <w:rFonts w:cs="Arial"/>
          <w:b/>
        </w:rPr>
        <w:t>County Wildlife Site</w:t>
      </w:r>
      <w:r>
        <w:rPr>
          <w:rFonts w:cs="Arial"/>
        </w:rPr>
        <w:t xml:space="preserve"> on the following criteria:</w:t>
      </w:r>
    </w:p>
    <w:p w:rsidR="00ED0E3A" w:rsidRPr="00D005B1" w:rsidRDefault="00ED0E3A" w:rsidP="00ED0E3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>
        <w:t>A Type 10A water body containing more than 15 submerged, floating and emergent species</w:t>
      </w:r>
    </w:p>
    <w:p w:rsidR="00D77A0A" w:rsidRPr="00D77A0A" w:rsidRDefault="00D77A0A" w:rsidP="00D77A0A">
      <w:pPr>
        <w:pStyle w:val="ListParagraph"/>
        <w:numPr>
          <w:ilvl w:val="0"/>
          <w:numId w:val="2"/>
        </w:numPr>
        <w:spacing w:line="240" w:lineRule="auto"/>
        <w:rPr>
          <w:rFonts w:cs="Arial"/>
          <w:b/>
        </w:rPr>
      </w:pPr>
      <w:r>
        <w:t>Site supports frequent numbers of eight or more neutral grassland indicator species (strong and weak)</w:t>
      </w:r>
    </w:p>
    <w:p w:rsidR="00D77A0A" w:rsidRPr="00D77A0A" w:rsidRDefault="00D77A0A" w:rsidP="00D77A0A">
      <w:pPr>
        <w:pStyle w:val="ListParagraph"/>
        <w:numPr>
          <w:ilvl w:val="0"/>
          <w:numId w:val="2"/>
        </w:numPr>
        <w:spacing w:line="240" w:lineRule="auto"/>
        <w:rPr>
          <w:rFonts w:cs="Arial"/>
          <w:b/>
        </w:rPr>
      </w:pPr>
      <w:r>
        <w:t>Site supports more than 0.05ha of CG4/CG5 calcareous grassland</w:t>
      </w:r>
    </w:p>
    <w:p w:rsidR="00D77A0A" w:rsidRPr="009F36E5" w:rsidRDefault="00D77A0A" w:rsidP="00D77A0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>
        <w:t>Site</w:t>
      </w:r>
      <w:r>
        <w:t xml:space="preserve"> suppor</w:t>
      </w:r>
      <w:r>
        <w:t>ts</w:t>
      </w:r>
      <w:r>
        <w:t xml:space="preserve"> populations of species which occur in three or fewer sites in the county (VC32) (Common Yellow-sedge and Parsley Water-dropwort). </w:t>
      </w:r>
    </w:p>
    <w:p w:rsidR="00ED0E3A" w:rsidRPr="00D005B1" w:rsidRDefault="00ED0E3A" w:rsidP="00ED0E3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>
        <w:t>An invertebrate index exceeding 500 (</w:t>
      </w:r>
      <w:r w:rsidRPr="00D77A0A">
        <w:t>1</w:t>
      </w:r>
      <w:r w:rsidR="00D77A0A" w:rsidRPr="00D77A0A">
        <w:t>850</w:t>
      </w:r>
      <w:r>
        <w:t>)</w:t>
      </w:r>
    </w:p>
    <w:p w:rsidR="00ED0E3A" w:rsidRPr="003F3DB4" w:rsidRDefault="00ED0E3A" w:rsidP="00ED0E3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>
        <w:t>A significant population of an RDB or NS species (</w:t>
      </w:r>
      <w:proofErr w:type="spellStart"/>
      <w:r w:rsidRPr="00D005B1">
        <w:rPr>
          <w:i/>
        </w:rPr>
        <w:t>Agabus</w:t>
      </w:r>
      <w:proofErr w:type="spellEnd"/>
      <w:r w:rsidRPr="00D005B1">
        <w:rPr>
          <w:i/>
        </w:rPr>
        <w:t xml:space="preserve"> </w:t>
      </w:r>
      <w:proofErr w:type="spellStart"/>
      <w:r w:rsidRPr="00D005B1">
        <w:rPr>
          <w:i/>
        </w:rPr>
        <w:t>labiatus</w:t>
      </w:r>
      <w:proofErr w:type="spellEnd"/>
      <w:r>
        <w:rPr>
          <w:i/>
        </w:rPr>
        <w:t>)</w:t>
      </w:r>
      <w:r>
        <w:t>, possibl</w:t>
      </w:r>
      <w:r w:rsidR="00D77A0A">
        <w:t>y</w:t>
      </w:r>
      <w:r>
        <w:t xml:space="preserve"> the only county site)</w:t>
      </w:r>
    </w:p>
    <w:p w:rsidR="00ED0E3A" w:rsidRPr="00175E3A" w:rsidRDefault="00ED0E3A" w:rsidP="00ED0E3A">
      <w:pPr>
        <w:pStyle w:val="ListParagraph"/>
        <w:spacing w:after="0" w:line="240" w:lineRule="auto"/>
        <w:rPr>
          <w:rFonts w:cs="Arial"/>
        </w:rPr>
      </w:pPr>
    </w:p>
    <w:p w:rsidR="00ED0E3A" w:rsidRDefault="00ED0E3A" w:rsidP="00ED0E3A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pond qualifies as a </w:t>
      </w:r>
      <w:r w:rsidRPr="0078733E">
        <w:rPr>
          <w:rFonts w:cs="Arial"/>
          <w:b/>
        </w:rPr>
        <w:t>BAP Priority Pond</w:t>
      </w:r>
      <w:r>
        <w:rPr>
          <w:rFonts w:cs="Arial"/>
        </w:rPr>
        <w:t xml:space="preserve"> under the following criteria:</w:t>
      </w:r>
    </w:p>
    <w:p w:rsidR="00ED0E3A" w:rsidRPr="003F3DB4" w:rsidRDefault="00ED0E3A" w:rsidP="00ED0E3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3F3DB4">
        <w:rPr>
          <w:rFonts w:cs="Arial"/>
        </w:rPr>
        <w:t xml:space="preserve">Criterion 2 (species of High Conservation Importance):  Pond supports a Schedule 5 species </w:t>
      </w:r>
      <w:r>
        <w:rPr>
          <w:rFonts w:cs="Arial"/>
        </w:rPr>
        <w:t>(Great Crested Newt)</w:t>
      </w:r>
    </w:p>
    <w:p w:rsidR="00ED0E3A" w:rsidRPr="003F3DB4" w:rsidRDefault="00ED0E3A" w:rsidP="00ED0E3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3F3DB4">
        <w:rPr>
          <w:rFonts w:cs="Arial"/>
        </w:rPr>
        <w:t xml:space="preserve">Criterion 2 (species of High Conservation Importance):  Pond supports </w:t>
      </w:r>
      <w:r>
        <w:rPr>
          <w:rFonts w:cs="Arial"/>
        </w:rPr>
        <w:t>at least one Red Data Book invertebrate</w:t>
      </w:r>
      <w:r w:rsidR="00D77A0A">
        <w:rPr>
          <w:rFonts w:cs="Arial"/>
        </w:rPr>
        <w:t xml:space="preserve"> species</w:t>
      </w:r>
      <w:r>
        <w:rPr>
          <w:rFonts w:cs="Arial"/>
        </w:rPr>
        <w:t>; pond supports more than three nationally s</w:t>
      </w:r>
      <w:r w:rsidRPr="003F3DB4">
        <w:rPr>
          <w:rFonts w:cs="Arial"/>
        </w:rPr>
        <w:t xml:space="preserve">carce invertebrate species </w:t>
      </w:r>
    </w:p>
    <w:p w:rsidR="00007A71" w:rsidRDefault="00007A71" w:rsidP="00007A71">
      <w:pPr>
        <w:spacing w:after="0" w:line="240" w:lineRule="auto"/>
        <w:rPr>
          <w:rFonts w:cs="Arial"/>
        </w:rPr>
      </w:pPr>
    </w:p>
    <w:p w:rsidR="00CB1F20" w:rsidRDefault="00CB1F20">
      <w:pPr>
        <w:rPr>
          <w:rFonts w:cs="Arial"/>
          <w:b/>
        </w:rPr>
      </w:pPr>
    </w:p>
    <w:p w:rsidR="00EA4E78" w:rsidRDefault="00EA4E78" w:rsidP="00AE65D2">
      <w:pPr>
        <w:spacing w:after="0" w:line="240" w:lineRule="auto"/>
        <w:rPr>
          <w:rFonts w:ascii="Arial" w:hAnsi="Arial" w:cs="Arial"/>
        </w:rPr>
      </w:pPr>
    </w:p>
    <w:p w:rsidR="004B14C7" w:rsidRPr="00EA4E78" w:rsidRDefault="004B14C7" w:rsidP="00042244"/>
    <w:sectPr w:rsidR="004B14C7" w:rsidRPr="00EA4E78" w:rsidSect="002E7E1C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AD0"/>
    <w:multiLevelType w:val="hybridMultilevel"/>
    <w:tmpl w:val="A8A6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961B9"/>
    <w:multiLevelType w:val="hybridMultilevel"/>
    <w:tmpl w:val="16E6B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F6A2C"/>
    <w:multiLevelType w:val="hybridMultilevel"/>
    <w:tmpl w:val="C79C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AA"/>
    <w:rsid w:val="00007A71"/>
    <w:rsid w:val="00042244"/>
    <w:rsid w:val="00044926"/>
    <w:rsid w:val="000E5493"/>
    <w:rsid w:val="00175E3A"/>
    <w:rsid w:val="00177397"/>
    <w:rsid w:val="001B2727"/>
    <w:rsid w:val="00272A18"/>
    <w:rsid w:val="002E7E1C"/>
    <w:rsid w:val="0031343D"/>
    <w:rsid w:val="003F3DB4"/>
    <w:rsid w:val="00476E9D"/>
    <w:rsid w:val="004B14C7"/>
    <w:rsid w:val="00643B49"/>
    <w:rsid w:val="00656DA7"/>
    <w:rsid w:val="007261B2"/>
    <w:rsid w:val="00762F65"/>
    <w:rsid w:val="0078733E"/>
    <w:rsid w:val="007D212A"/>
    <w:rsid w:val="0080257D"/>
    <w:rsid w:val="00832DAA"/>
    <w:rsid w:val="00922C6A"/>
    <w:rsid w:val="009604FC"/>
    <w:rsid w:val="009F36E5"/>
    <w:rsid w:val="00A00C48"/>
    <w:rsid w:val="00A20753"/>
    <w:rsid w:val="00A24AA8"/>
    <w:rsid w:val="00AA660A"/>
    <w:rsid w:val="00AE65D2"/>
    <w:rsid w:val="00B0206F"/>
    <w:rsid w:val="00B2562B"/>
    <w:rsid w:val="00B273DB"/>
    <w:rsid w:val="00BA2B5E"/>
    <w:rsid w:val="00C12360"/>
    <w:rsid w:val="00C90DBF"/>
    <w:rsid w:val="00CB1F20"/>
    <w:rsid w:val="00CD2EB2"/>
    <w:rsid w:val="00CE2BD6"/>
    <w:rsid w:val="00D34CC8"/>
    <w:rsid w:val="00D705CD"/>
    <w:rsid w:val="00D77A0A"/>
    <w:rsid w:val="00D92928"/>
    <w:rsid w:val="00DA009B"/>
    <w:rsid w:val="00E207BF"/>
    <w:rsid w:val="00EA4E78"/>
    <w:rsid w:val="00EB0F39"/>
    <w:rsid w:val="00ED0E3A"/>
    <w:rsid w:val="00F02158"/>
    <w:rsid w:val="00F02767"/>
    <w:rsid w:val="00F653E2"/>
    <w:rsid w:val="00FC56FD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5E9A"/>
  <w15:chartTrackingRefBased/>
  <w15:docId w15:val="{45A8760F-9941-4B6C-9C5E-F3F90B05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4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DAA"/>
    <w:pPr>
      <w:ind w:left="720"/>
      <w:contextualSpacing/>
    </w:pPr>
  </w:style>
  <w:style w:type="table" w:styleId="ListTable7Colorful">
    <w:name w:val="List Table 7 Colorful"/>
    <w:basedOn w:val="TableNormal"/>
    <w:uiPriority w:val="52"/>
    <w:rsid w:val="00AE65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2E7E1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5</cp:revision>
  <dcterms:created xsi:type="dcterms:W3CDTF">2017-09-19T07:23:00Z</dcterms:created>
  <dcterms:modified xsi:type="dcterms:W3CDTF">2017-09-19T08:25:00Z</dcterms:modified>
</cp:coreProperties>
</file>